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CCBC4" w14:textId="77777777" w:rsidR="006837FF" w:rsidRPr="00003CCF" w:rsidRDefault="006837FF" w:rsidP="00003CCF">
      <w:pPr>
        <w:pStyle w:val="Stopka"/>
      </w:pPr>
    </w:p>
  </w:endnote>
  <w:endnote w:type="continuationSeparator" w:id="0">
    <w:p w14:paraId="075FCBAE" w14:textId="77777777" w:rsidR="006837FF" w:rsidRPr="00C944CB" w:rsidRDefault="006837FF" w:rsidP="00C944CB">
      <w:pPr>
        <w:pStyle w:val="Stopka"/>
      </w:pPr>
    </w:p>
  </w:endnote>
  <w:endnote w:type="continuationNotice" w:id="1">
    <w:p w14:paraId="30BF4DBC" w14:textId="77777777" w:rsidR="006837FF" w:rsidRDefault="006837FF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263FCB1D" w14:textId="77777777" w:rsidR="008D1875" w:rsidRDefault="008D1875" w:rsidP="003072D5">
      <w:pPr>
        <w:pStyle w:val="Tekstprzypisukocowego"/>
        <w:spacing w:before="0" w:line="276" w:lineRule="auto"/>
        <w:jc w:val="both"/>
        <w:rPr>
          <w:sz w:val="16"/>
          <w:szCs w:val="16"/>
        </w:rPr>
      </w:pPr>
    </w:p>
    <w:p w14:paraId="3B0906A7" w14:textId="77777777" w:rsidR="008D1875" w:rsidRPr="008D1875" w:rsidRDefault="008D1875" w:rsidP="008D1875">
      <w:pPr>
        <w:pStyle w:val="Tekstprzypisukocowego"/>
        <w:spacing w:line="276" w:lineRule="auto"/>
        <w:ind w:left="227" w:hanging="227"/>
        <w:jc w:val="both"/>
        <w:rPr>
          <w:sz w:val="16"/>
          <w:szCs w:val="16"/>
          <w:vertAlign w:val="superscript"/>
        </w:rPr>
      </w:pPr>
    </w:p>
    <w:p w14:paraId="64511792" w14:textId="4CE3F506" w:rsidR="008D1875" w:rsidRPr="003072D5" w:rsidRDefault="008D1875" w:rsidP="0007320A">
      <w:pPr>
        <w:pStyle w:val="Tekstprzypisukocowego"/>
        <w:spacing w:before="0" w:line="276" w:lineRule="auto"/>
        <w:ind w:left="227" w:hanging="227"/>
        <w:jc w:val="center"/>
        <w:rPr>
          <w:b/>
          <w:bCs/>
          <w:szCs w:val="20"/>
        </w:rPr>
      </w:pPr>
      <w:r w:rsidRPr="003072D5">
        <w:rPr>
          <w:b/>
          <w:bCs/>
          <w:szCs w:val="20"/>
        </w:rPr>
        <w:t>Klauzula informacyjna dotycząca przetwarzania danych osobowych.</w:t>
      </w:r>
    </w:p>
    <w:p w14:paraId="6F65CE9D" w14:textId="77777777" w:rsidR="0007320A" w:rsidRPr="003072D5" w:rsidRDefault="0007320A" w:rsidP="0007320A">
      <w:pPr>
        <w:pStyle w:val="Tekstprzypisukocowego"/>
        <w:spacing w:before="0" w:line="276" w:lineRule="auto"/>
        <w:ind w:left="227" w:hanging="227"/>
        <w:jc w:val="center"/>
        <w:rPr>
          <w:b/>
          <w:bCs/>
          <w:szCs w:val="20"/>
        </w:rPr>
      </w:pPr>
    </w:p>
    <w:p w14:paraId="24B14FD2" w14:textId="77777777" w:rsid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szCs w:val="20"/>
          <w:lang w:eastAsia="zh-CN"/>
        </w:rPr>
        <w:t xml:space="preserve">Realizując obowiązek wskazany w art. 13 ust. 1 i ust. 2 </w:t>
      </w:r>
      <w:r w:rsidRPr="003072D5">
        <w:rPr>
          <w:rFonts w:eastAsia="SimSun"/>
          <w:color w:val="000000"/>
          <w:szCs w:val="20"/>
          <w:lang w:eastAsia="zh-CN"/>
        </w:rPr>
        <w:t xml:space="preserve">Rozporządzenia Parlamentu Europejskiego </w:t>
      </w:r>
      <w:r w:rsidRPr="003072D5">
        <w:rPr>
          <w:rFonts w:eastAsia="SimSun"/>
          <w:color w:val="000000"/>
          <w:szCs w:val="20"/>
          <w:lang w:eastAsia="zh-CN"/>
        </w:rPr>
        <w:br/>
      </w:r>
      <w:r w:rsidRPr="003072D5">
        <w:rPr>
          <w:rFonts w:eastAsia="SimSun"/>
          <w:color w:val="000000"/>
          <w:szCs w:val="20"/>
          <w:lang w:eastAsia="zh-CN"/>
        </w:rPr>
        <w:t xml:space="preserve">i Rady (UE) 2016/679 z dnia 27 kwietnia 2016 r. w sprawie ochrony osób fizycznych w związku </w:t>
      </w:r>
      <w:r w:rsidRPr="003072D5">
        <w:rPr>
          <w:rFonts w:eastAsia="SimSun"/>
          <w:color w:val="000000"/>
          <w:szCs w:val="20"/>
          <w:lang w:eastAsia="zh-CN"/>
        </w:rPr>
        <w:br/>
      </w:r>
      <w:r w:rsidRPr="003072D5">
        <w:rPr>
          <w:rFonts w:eastAsia="SimSun"/>
          <w:color w:val="000000"/>
          <w:szCs w:val="20"/>
          <w:lang w:eastAsia="zh-CN"/>
        </w:rPr>
        <w:t>z przetwarzaniem danych osobowych i w sprawie swobodnego przepływu takich danych oraz uchylenia dyrektywy 95/46/WE niniejszym przekazuje się następujące informacje :</w:t>
      </w:r>
    </w:p>
    <w:p w14:paraId="79AADF70" w14:textId="77777777" w:rsid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 xml:space="preserve">- w ramach postępowania administracyjnego wszczętego na wniosek w tutejszym Urzędzie Gminy przetwarzane będą dane osobowe Wnioskodawcy i innych stron postępowania w zakresie i w celu niezbędnym do jego przeprowadzenia, </w:t>
      </w:r>
    </w:p>
    <w:p w14:paraId="1BE38310" w14:textId="77777777" w:rsid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 xml:space="preserve">- tutejszy Urząd pełni funkcję Administratora Danych Osobowych, a jego przedstawicielem jest osoba prowadząca postępowanie administracyjne i można się z Nią skontaktować w  następujący sposób : </w:t>
      </w:r>
      <w:r w:rsidRPr="003072D5">
        <w:rPr>
          <w:rFonts w:eastAsia="SimSun"/>
          <w:b/>
          <w:bCs/>
          <w:color w:val="000000"/>
          <w:szCs w:val="20"/>
          <w:lang w:eastAsia="zh-CN"/>
        </w:rPr>
        <w:t>tel. 614154306 w.25</w:t>
      </w:r>
    </w:p>
    <w:p w14:paraId="280159B7" w14:textId="6BC26682" w:rsidR="003072D5" w:rsidRP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>- przekazanie danych osobowych przez Wnioskodawcę jak i inne strony postępowania w zakresie niezbędnym do przeprowadzenia postępowania administracyjnego jest wymogiem ustawowym; odmowa ich przekazania rodzi negatywne skutki procesowe;</w:t>
      </w:r>
    </w:p>
    <w:p w14:paraId="56DB9A7A" w14:textId="5F6E4D74" w:rsidR="003072D5" w:rsidRP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 xml:space="preserve">- Inspektorem Ochrony Danych Osobowych tutejszego Urzędu jest Tomasz Gorczycki  i można się </w:t>
      </w:r>
      <w:r w:rsidRPr="003072D5">
        <w:rPr>
          <w:rFonts w:eastAsia="SimSun"/>
          <w:color w:val="000000"/>
          <w:szCs w:val="20"/>
          <w:lang w:eastAsia="zh-CN"/>
        </w:rPr>
        <w:br/>
      </w:r>
      <w:r w:rsidRPr="003072D5">
        <w:rPr>
          <w:rFonts w:eastAsia="SimSun"/>
          <w:color w:val="000000"/>
          <w:szCs w:val="20"/>
          <w:lang w:eastAsia="zh-CN"/>
        </w:rPr>
        <w:t xml:space="preserve">z Nim skontaktować w następujący sposób: </w:t>
      </w:r>
      <w:r w:rsidRPr="003072D5">
        <w:rPr>
          <w:rFonts w:eastAsia="SimSun"/>
          <w:b/>
          <w:bCs/>
          <w:color w:val="000000"/>
          <w:szCs w:val="20"/>
          <w:lang w:eastAsia="zh-CN"/>
        </w:rPr>
        <w:t>tel. 614154306 w. 27</w:t>
      </w:r>
    </w:p>
    <w:p w14:paraId="41C213EF" w14:textId="77777777" w:rsidR="003072D5" w:rsidRP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>- wskazane dane osobowe dostępne będą na podstawie art. 73 Kodeksu postępowania administracyjnego oraz art. 15 wyżej wskazanego Rozporządzenia stronom postępowania; strony mają także prawo żądania</w:t>
      </w:r>
      <w:r w:rsidRPr="003072D5">
        <w:rPr>
          <w:rFonts w:eastAsia="SimSun"/>
          <w:szCs w:val="20"/>
          <w:lang w:eastAsia="zh-CN"/>
        </w:rPr>
        <w:t xml:space="preserve"> sprostowania, usunięcia lub ograniczenia przetwarzania danych ich dotyczących, jeżeli w ich ocenie przetwarzanie jest nieprawidłowe;</w:t>
      </w:r>
    </w:p>
    <w:p w14:paraId="4D839AF4" w14:textId="77777777" w:rsidR="003072D5" w:rsidRP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color w:val="000000"/>
          <w:szCs w:val="20"/>
          <w:lang w:eastAsia="zh-CN"/>
        </w:rPr>
        <w:t xml:space="preserve">- dane przechowywane będą w tutejszym Urzędzie w postaci odrębnych zabezpieczonych przed osobami niepowołanymi akt sprawy przez okres prowadzenia sprawy jak i po tym okresie, tak długo jak w świetle prawa będzie to niezbędne dla </w:t>
      </w:r>
      <w:r w:rsidRPr="003072D5">
        <w:rPr>
          <w:rFonts w:eastAsia="SimSun"/>
          <w:szCs w:val="20"/>
          <w:lang w:eastAsia="zh-CN"/>
        </w:rPr>
        <w:t>dokumentowania przebiegu załatwiania i rozstrzygania sprawy.</w:t>
      </w:r>
    </w:p>
    <w:p w14:paraId="4CDC6865" w14:textId="77777777" w:rsidR="003072D5" w:rsidRPr="003072D5" w:rsidRDefault="003072D5" w:rsidP="003072D5">
      <w:pPr>
        <w:spacing w:before="0" w:after="0"/>
        <w:jc w:val="both"/>
        <w:rPr>
          <w:rFonts w:eastAsia="SimSun"/>
          <w:szCs w:val="20"/>
          <w:lang w:eastAsia="zh-CN"/>
        </w:rPr>
      </w:pPr>
      <w:r w:rsidRPr="003072D5">
        <w:rPr>
          <w:rFonts w:eastAsia="SimSun"/>
          <w:szCs w:val="20"/>
          <w:lang w:eastAsia="zh-CN"/>
        </w:rPr>
        <w:t xml:space="preserve">Jednocześnie informuje się, iż przetwarzanie danych osobowych w zakresie i celu wyżej wskazanym dokonywane jest na podstawie prawa, to jest na podstawie art. 6 ust. 1 lit. c) wyżej wskazanego Rozporządzenia jak i na podstawie kodeksu postępowania administracyjnego i jest niezbędne dla </w:t>
      </w:r>
      <w:r w:rsidRPr="003072D5">
        <w:rPr>
          <w:rFonts w:eastAsia="SimSun"/>
          <w:color w:val="000000"/>
          <w:szCs w:val="20"/>
          <w:lang w:eastAsia="zh-CN"/>
        </w:rPr>
        <w:t xml:space="preserve">wypełnienia obowiązku prawnego ciążącego na administratorze. Osoba, której dane dotyczą, ma prawo </w:t>
      </w:r>
      <w:r w:rsidRPr="003072D5">
        <w:rPr>
          <w:rFonts w:eastAsia="SimSun"/>
          <w:szCs w:val="20"/>
          <w:lang w:eastAsia="zh-CN"/>
        </w:rPr>
        <w:t>wniesienia skargi do Prezesa Urzędu Ochrony Danych Osobowych z siedzibą w Warszawie, jeżeli uzna iż przetwarzanie tych danych osobowych odbywa się w sposób nieprawidłowy.</w:t>
      </w:r>
    </w:p>
    <w:p w14:paraId="47DCFBD1" w14:textId="77777777" w:rsidR="0007320A" w:rsidRPr="003072D5" w:rsidRDefault="0007320A" w:rsidP="008D1875">
      <w:pPr>
        <w:pStyle w:val="Tekstprzypisukocowego"/>
        <w:spacing w:before="0" w:line="276" w:lineRule="auto"/>
        <w:jc w:val="right"/>
        <w:rPr>
          <w:szCs w:val="20"/>
        </w:rPr>
      </w:pPr>
    </w:p>
    <w:p w14:paraId="3EAC8E16" w14:textId="49CC90D4" w:rsidR="008D1875" w:rsidRPr="003072D5" w:rsidRDefault="008D1875" w:rsidP="008D1875">
      <w:pPr>
        <w:pStyle w:val="Tekstprzypisukocowego"/>
        <w:spacing w:before="0" w:line="276" w:lineRule="auto"/>
        <w:jc w:val="right"/>
        <w:rPr>
          <w:szCs w:val="20"/>
        </w:rPr>
      </w:pPr>
      <w:r w:rsidRPr="003072D5">
        <w:rPr>
          <w:szCs w:val="20"/>
        </w:rPr>
        <w:t>Potwierdzam, że zapoznałem/</w:t>
      </w:r>
      <w:proofErr w:type="spellStart"/>
      <w:r w:rsidRPr="003072D5">
        <w:rPr>
          <w:szCs w:val="20"/>
        </w:rPr>
        <w:t>am</w:t>
      </w:r>
      <w:proofErr w:type="spellEnd"/>
      <w:r w:rsidRPr="003072D5">
        <w:rPr>
          <w:szCs w:val="20"/>
        </w:rPr>
        <w:t xml:space="preserve"> się </w:t>
      </w:r>
    </w:p>
    <w:p w14:paraId="60024142" w14:textId="77777777" w:rsidR="008D1875" w:rsidRPr="003072D5" w:rsidRDefault="008D1875" w:rsidP="008D1875">
      <w:pPr>
        <w:pStyle w:val="Tekstprzypisukocowego"/>
        <w:spacing w:before="0" w:line="276" w:lineRule="auto"/>
        <w:jc w:val="right"/>
        <w:rPr>
          <w:szCs w:val="20"/>
        </w:rPr>
      </w:pPr>
      <w:r w:rsidRPr="003072D5">
        <w:rPr>
          <w:szCs w:val="20"/>
        </w:rPr>
        <w:t xml:space="preserve">i akceptuje treść klauzuli informacyjnych </w:t>
      </w:r>
    </w:p>
    <w:p w14:paraId="4810CEF8" w14:textId="51D1E684" w:rsidR="008D1875" w:rsidRPr="003072D5" w:rsidRDefault="008D1875" w:rsidP="008D1875">
      <w:pPr>
        <w:pStyle w:val="Tekstprzypisukocowego"/>
        <w:spacing w:before="0" w:line="276" w:lineRule="auto"/>
        <w:jc w:val="right"/>
        <w:rPr>
          <w:szCs w:val="20"/>
        </w:rPr>
      </w:pPr>
      <w:r w:rsidRPr="003072D5">
        <w:rPr>
          <w:szCs w:val="20"/>
        </w:rPr>
        <w:t xml:space="preserve">o przetwarzaniu danych osobowych </w:t>
      </w:r>
    </w:p>
    <w:p w14:paraId="60BFAD3F" w14:textId="77777777" w:rsidR="008D1875" w:rsidRPr="003072D5" w:rsidRDefault="008D1875" w:rsidP="008D1875">
      <w:pPr>
        <w:pStyle w:val="Tekstprzypisukocowego"/>
        <w:spacing w:before="0" w:line="276" w:lineRule="auto"/>
        <w:ind w:left="227" w:hanging="227"/>
        <w:jc w:val="both"/>
        <w:rPr>
          <w:szCs w:val="20"/>
        </w:rPr>
      </w:pPr>
    </w:p>
    <w:p w14:paraId="47E0C879" w14:textId="518E7231" w:rsidR="008D1875" w:rsidRPr="003072D5" w:rsidRDefault="008D1875" w:rsidP="008D1875">
      <w:pPr>
        <w:pStyle w:val="Tekstprzypisukocowego"/>
        <w:spacing w:before="0" w:line="276" w:lineRule="auto"/>
        <w:ind w:left="227" w:hanging="227"/>
        <w:jc w:val="right"/>
        <w:rPr>
          <w:szCs w:val="20"/>
        </w:rPr>
      </w:pPr>
      <w:r w:rsidRPr="003072D5">
        <w:rPr>
          <w:szCs w:val="20"/>
        </w:rPr>
        <w:t>….............................................................</w:t>
      </w:r>
    </w:p>
    <w:p w14:paraId="502D08F2" w14:textId="7B45266D" w:rsidR="008D1875" w:rsidRPr="0007320A" w:rsidRDefault="0007320A" w:rsidP="0007320A">
      <w:pPr>
        <w:pStyle w:val="Tekstprzypisukocowego"/>
        <w:spacing w:before="0" w:line="276" w:lineRule="auto"/>
        <w:ind w:left="5183" w:firstLine="48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8D1875" w:rsidRPr="0007320A">
        <w:rPr>
          <w:sz w:val="16"/>
          <w:szCs w:val="16"/>
        </w:rPr>
        <w:t>(podpis)</w:t>
      </w:r>
    </w:p>
    <w:p w14:paraId="0F80124E" w14:textId="77777777" w:rsidR="008D1875" w:rsidRPr="00003CCF" w:rsidRDefault="008D1875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D124B" w14:textId="77777777" w:rsidR="006837FF" w:rsidRDefault="006837FF" w:rsidP="005F02B9">
      <w:r>
        <w:separator/>
      </w:r>
    </w:p>
    <w:p w14:paraId="5653BD68" w14:textId="77777777" w:rsidR="006837FF" w:rsidRDefault="006837FF" w:rsidP="005F02B9"/>
    <w:p w14:paraId="659629C7" w14:textId="77777777" w:rsidR="006837FF" w:rsidRDefault="006837FF" w:rsidP="005F02B9"/>
    <w:p w14:paraId="4CCD9FD1" w14:textId="77777777" w:rsidR="006837FF" w:rsidRDefault="006837FF"/>
  </w:footnote>
  <w:footnote w:type="continuationSeparator" w:id="0">
    <w:p w14:paraId="47A8AD24" w14:textId="77777777" w:rsidR="006837FF" w:rsidRDefault="006837FF" w:rsidP="005F02B9">
      <w:r>
        <w:continuationSeparator/>
      </w:r>
    </w:p>
    <w:p w14:paraId="2D070902" w14:textId="77777777" w:rsidR="006837FF" w:rsidRDefault="006837FF" w:rsidP="005F02B9"/>
    <w:p w14:paraId="01F15DC8" w14:textId="77777777" w:rsidR="006837FF" w:rsidRDefault="006837FF" w:rsidP="005F02B9"/>
    <w:p w14:paraId="23A78325" w14:textId="77777777" w:rsidR="006837FF" w:rsidRDefault="006837FF"/>
  </w:footnote>
  <w:footnote w:type="continuationNotice" w:id="1">
    <w:p w14:paraId="11970F21" w14:textId="77777777" w:rsidR="006837FF" w:rsidRDefault="006837F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F8087D"/>
    <w:multiLevelType w:val="multilevel"/>
    <w:tmpl w:val="9E36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8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6"/>
  </w:num>
  <w:num w:numId="9" w16cid:durableId="1938711003">
    <w:abstractNumId w:val="36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30"/>
  </w:num>
  <w:num w:numId="16" w16cid:durableId="46997084">
    <w:abstractNumId w:val="39"/>
  </w:num>
  <w:num w:numId="17" w16cid:durableId="7695429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9"/>
  </w:num>
  <w:num w:numId="19" w16cid:durableId="874729154">
    <w:abstractNumId w:val="39"/>
  </w:num>
  <w:num w:numId="20" w16cid:durableId="747845981">
    <w:abstractNumId w:val="39"/>
  </w:num>
  <w:num w:numId="21" w16cid:durableId="520582182">
    <w:abstractNumId w:val="39"/>
  </w:num>
  <w:num w:numId="22" w16cid:durableId="1449465805">
    <w:abstractNumId w:val="33"/>
  </w:num>
  <w:num w:numId="23" w16cid:durableId="1912619045">
    <w:abstractNumId w:val="39"/>
  </w:num>
  <w:num w:numId="24" w16cid:durableId="401759100">
    <w:abstractNumId w:val="39"/>
  </w:num>
  <w:num w:numId="25" w16cid:durableId="937248528">
    <w:abstractNumId w:val="39"/>
  </w:num>
  <w:num w:numId="26" w16cid:durableId="2023313572">
    <w:abstractNumId w:val="39"/>
  </w:num>
  <w:num w:numId="27" w16cid:durableId="1345480314">
    <w:abstractNumId w:val="39"/>
  </w:num>
  <w:num w:numId="28" w16cid:durableId="1903178703">
    <w:abstractNumId w:val="39"/>
  </w:num>
  <w:num w:numId="29" w16cid:durableId="353461618">
    <w:abstractNumId w:val="39"/>
  </w:num>
  <w:num w:numId="30" w16cid:durableId="108164127">
    <w:abstractNumId w:val="23"/>
  </w:num>
  <w:num w:numId="31" w16cid:durableId="1541549650">
    <w:abstractNumId w:val="39"/>
  </w:num>
  <w:num w:numId="32" w16cid:durableId="953513379">
    <w:abstractNumId w:val="39"/>
  </w:num>
  <w:num w:numId="33" w16cid:durableId="1773667328">
    <w:abstractNumId w:val="39"/>
  </w:num>
  <w:num w:numId="34" w16cid:durableId="648167400">
    <w:abstractNumId w:val="39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3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4"/>
  </w:num>
  <w:num w:numId="50" w16cid:durableId="672225172">
    <w:abstractNumId w:val="37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5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4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7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40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2"/>
  </w:num>
  <w:num w:numId="89" w16cid:durableId="412168632">
    <w:abstractNumId w:val="9"/>
  </w:num>
  <w:num w:numId="90" w16cid:durableId="1705209037">
    <w:abstractNumId w:val="42"/>
  </w:num>
  <w:num w:numId="91" w16cid:durableId="1916549842">
    <w:abstractNumId w:val="11"/>
  </w:num>
  <w:num w:numId="92" w16cid:durableId="334575988">
    <w:abstractNumId w:val="31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9"/>
  </w:num>
  <w:num w:numId="100" w16cid:durableId="1960604309">
    <w:abstractNumId w:val="29"/>
  </w:num>
  <w:num w:numId="101" w16cid:durableId="1883863407">
    <w:abstractNumId w:val="22"/>
  </w:num>
  <w:num w:numId="102" w16cid:durableId="569921812">
    <w:abstractNumId w:val="45"/>
  </w:num>
  <w:num w:numId="103" w16cid:durableId="1128619967">
    <w:abstractNumId w:val="28"/>
  </w:num>
  <w:num w:numId="104" w16cid:durableId="16488219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9"/>
  </w:num>
  <w:num w:numId="109" w16cid:durableId="1397165979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1"/>
  </w:num>
  <w:num w:numId="112" w16cid:durableId="903225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4DC8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320A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072D5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64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37FF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1875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3B3A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A1E"/>
    <w:rsid w:val="00AD0C0B"/>
    <w:rsid w:val="00AD23C9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7775E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00AC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4B5B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Izabela IK. Kowalczyk</cp:lastModifiedBy>
  <cp:revision>5</cp:revision>
  <cp:lastPrinted>2024-03-12T14:50:00Z</cp:lastPrinted>
  <dcterms:created xsi:type="dcterms:W3CDTF">2024-10-10T11:05:00Z</dcterms:created>
  <dcterms:modified xsi:type="dcterms:W3CDTF">2025-04-30T05:17:00Z</dcterms:modified>
</cp:coreProperties>
</file>